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EFABC"/>
  <w:body>
    <w:tbl>
      <w:tblPr>
        <w:tblpPr w:leftFromText="141" w:rightFromText="141" w:vertAnchor="page" w:horzAnchor="margin" w:tblpXSpec="center" w:tblpY="1906"/>
        <w:tblW w:w="5000" w:type="pct"/>
        <w:tblBorders>
          <w:top w:val="dotDotDash" w:sz="18" w:space="0" w:color="0B6F0D"/>
          <w:left w:val="dotDotDash" w:sz="18" w:space="0" w:color="0B6F0D"/>
          <w:bottom w:val="dotDotDash" w:sz="18" w:space="0" w:color="0B6F0D"/>
          <w:right w:val="dotDotDash" w:sz="18" w:space="0" w:color="0B6F0D"/>
          <w:insideH w:val="dashed" w:sz="8" w:space="0" w:color="ED7D31" w:themeColor="accent2"/>
          <w:insideV w:val="dotDotDash" w:sz="18" w:space="0" w:color="0B6F0D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12"/>
        <w:gridCol w:w="3406"/>
        <w:gridCol w:w="4348"/>
      </w:tblGrid>
      <w:tr w:rsidR="00ED12E9" w14:paraId="08F35CA9" w14:textId="77777777" w:rsidTr="00AF59B0">
        <w:tc>
          <w:tcPr>
            <w:tcW w:w="5000" w:type="pct"/>
            <w:gridSpan w:val="3"/>
            <w:tcBorders>
              <w:top w:val="dotDotDash" w:sz="18" w:space="0" w:color="0B6F0D"/>
              <w:left w:val="nil"/>
              <w:bottom w:val="dashed" w:sz="8" w:space="0" w:color="ED7D31" w:themeColor="accent2"/>
              <w:right w:val="nil"/>
            </w:tcBorders>
            <w:shd w:val="clear" w:color="auto" w:fill="77F17A"/>
            <w:vAlign w:val="center"/>
          </w:tcPr>
          <w:p w14:paraId="559D2723" w14:textId="2B097709" w:rsidR="00ED12E9" w:rsidRPr="00AF59B0" w:rsidRDefault="00ED12E9" w:rsidP="00C13349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color w:val="F7CAAC" w:themeColor="accent2" w:themeTint="66"/>
                <w:sz w:val="80"/>
                <w:szCs w:val="80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AF59B0">
              <w:rPr>
                <w:rFonts w:ascii="Arial" w:hAnsi="Arial" w:cs="Arial"/>
                <w:b/>
                <w:bCs/>
                <w:color w:val="F7CAAC" w:themeColor="accent2" w:themeTint="66"/>
                <w:sz w:val="80"/>
                <w:szCs w:val="80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CLASES DE MONEDA</w:t>
            </w:r>
          </w:p>
        </w:tc>
      </w:tr>
      <w:tr w:rsidR="00ED12E9" w14:paraId="028634FF" w14:textId="77777777" w:rsidTr="00AF59B0">
        <w:trPr>
          <w:cantSplit/>
          <w:trHeight w:val="570"/>
        </w:trPr>
        <w:tc>
          <w:tcPr>
            <w:tcW w:w="1296" w:type="pct"/>
            <w:vMerge w:val="restart"/>
            <w:tcBorders>
              <w:top w:val="dashed" w:sz="8" w:space="0" w:color="ED7D31" w:themeColor="accent2"/>
            </w:tcBorders>
            <w:textDirection w:val="tbRl"/>
            <w:vAlign w:val="center"/>
          </w:tcPr>
          <w:p w14:paraId="70CAFEBC" w14:textId="5D1A476C" w:rsidR="00ED12E9" w:rsidRPr="00ED12E9" w:rsidRDefault="00ED12E9" w:rsidP="00927E2C">
            <w:pPr>
              <w:pStyle w:val="Paratabla"/>
              <w:ind w:right="113" w:hanging="2"/>
              <w:rPr>
                <w:sz w:val="24"/>
              </w:rPr>
            </w:pPr>
            <w:r w:rsidRPr="00ED12E9">
              <w:rPr>
                <w:sz w:val="24"/>
              </w:rPr>
              <w:t>Según el material constitutivo</w:t>
            </w:r>
          </w:p>
        </w:tc>
        <w:tc>
          <w:tcPr>
            <w:tcW w:w="1627" w:type="pct"/>
            <w:tcBorders>
              <w:top w:val="dashed" w:sz="8" w:space="0" w:color="ED7D31" w:themeColor="accent2"/>
            </w:tcBorders>
            <w:vAlign w:val="center"/>
          </w:tcPr>
          <w:p w14:paraId="369B714D" w14:textId="6EB9DF09" w:rsidR="00ED12E9" w:rsidRDefault="00ED12E9" w:rsidP="00C13349">
            <w:pPr>
              <w:autoSpaceDE w:val="0"/>
              <w:autoSpaceDN w:val="0"/>
              <w:adjustRightInd w:val="0"/>
              <w:ind w:right="113"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Moneda metálica o moneda tipo</w:t>
            </w:r>
          </w:p>
        </w:tc>
        <w:tc>
          <w:tcPr>
            <w:tcW w:w="2077" w:type="pct"/>
            <w:tcBorders>
              <w:top w:val="dashed" w:sz="8" w:space="0" w:color="ED7D31" w:themeColor="accent2"/>
            </w:tcBorders>
            <w:vAlign w:val="center"/>
          </w:tcPr>
          <w:p w14:paraId="04566C52" w14:textId="5508AC3A" w:rsidR="00ED12E9" w:rsidRPr="008F3786" w:rsidRDefault="00ED12E9" w:rsidP="0079796B">
            <w:pPr>
              <w:autoSpaceDE w:val="0"/>
              <w:autoSpaceDN w:val="0"/>
              <w:adjustRightInd w:val="0"/>
              <w:ind w:right="113"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sz w:val="18"/>
              </w:rPr>
              <w:t>Está acuñada en material precioso Su valor extrínseco es prácticamente igual a su valor intrínseco</w:t>
            </w:r>
          </w:p>
        </w:tc>
      </w:tr>
      <w:tr w:rsidR="00ED12E9" w14:paraId="79FB9588" w14:textId="77777777" w:rsidTr="0079796B">
        <w:trPr>
          <w:cantSplit/>
          <w:trHeight w:val="951"/>
        </w:trPr>
        <w:tc>
          <w:tcPr>
            <w:tcW w:w="1296" w:type="pct"/>
            <w:vMerge/>
            <w:textDirection w:val="tbRl"/>
            <w:vAlign w:val="center"/>
          </w:tcPr>
          <w:p w14:paraId="698D237F" w14:textId="77777777" w:rsidR="00ED12E9" w:rsidRPr="00ED12E9" w:rsidRDefault="00ED12E9" w:rsidP="00927E2C">
            <w:pPr>
              <w:autoSpaceDE w:val="0"/>
              <w:autoSpaceDN w:val="0"/>
              <w:adjustRightInd w:val="0"/>
              <w:ind w:right="113" w:hanging="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7" w:type="pct"/>
            <w:vAlign w:val="center"/>
          </w:tcPr>
          <w:p w14:paraId="6697B572" w14:textId="77777777" w:rsidR="00ED12E9" w:rsidRDefault="00ED12E9" w:rsidP="00C13349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De vellón o subsidiaria</w:t>
            </w:r>
          </w:p>
        </w:tc>
        <w:tc>
          <w:tcPr>
            <w:tcW w:w="2077" w:type="pct"/>
            <w:vAlign w:val="center"/>
          </w:tcPr>
          <w:p w14:paraId="6518CF59" w14:textId="08372FDE" w:rsidR="00ED12E9" w:rsidRPr="008F3786" w:rsidRDefault="00ED12E9" w:rsidP="0079796B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sz w:val="18"/>
              </w:rPr>
              <w:t>Está constituida por aleaciones de metales no preciosos</w:t>
            </w:r>
          </w:p>
          <w:p w14:paraId="03D7699E" w14:textId="77777777" w:rsidR="00ED12E9" w:rsidRPr="008F3786" w:rsidRDefault="00ED12E9" w:rsidP="0079796B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sz w:val="18"/>
              </w:rPr>
              <w:t>Su valor extrínseco es superior a su valor como metal</w:t>
            </w:r>
          </w:p>
        </w:tc>
      </w:tr>
      <w:tr w:rsidR="00ED12E9" w14:paraId="22F81051" w14:textId="77777777" w:rsidTr="0079796B">
        <w:trPr>
          <w:cantSplit/>
          <w:trHeight w:val="1173"/>
        </w:trPr>
        <w:tc>
          <w:tcPr>
            <w:tcW w:w="1296" w:type="pct"/>
            <w:vMerge/>
            <w:textDirection w:val="tbRl"/>
            <w:vAlign w:val="center"/>
          </w:tcPr>
          <w:p w14:paraId="5A14B8B1" w14:textId="77777777" w:rsidR="00ED12E9" w:rsidRPr="00ED12E9" w:rsidRDefault="00ED12E9" w:rsidP="00927E2C">
            <w:pPr>
              <w:autoSpaceDE w:val="0"/>
              <w:autoSpaceDN w:val="0"/>
              <w:adjustRightInd w:val="0"/>
              <w:ind w:right="113" w:hanging="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7" w:type="pct"/>
            <w:vAlign w:val="center"/>
          </w:tcPr>
          <w:p w14:paraId="67FE3212" w14:textId="0E9A1F13" w:rsidR="00ED12E9" w:rsidRDefault="00ED12E9" w:rsidP="00C13349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Billetes de papel</w:t>
            </w:r>
          </w:p>
        </w:tc>
        <w:tc>
          <w:tcPr>
            <w:tcW w:w="2077" w:type="pct"/>
            <w:vAlign w:val="center"/>
          </w:tcPr>
          <w:p w14:paraId="1DD3D03B" w14:textId="1569A952" w:rsidR="00ED12E9" w:rsidRPr="008F3786" w:rsidRDefault="00ED12E9" w:rsidP="0079796B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sz w:val="18"/>
              </w:rPr>
              <w:t>En lugar de utilizar metales, se utiliza papel</w:t>
            </w:r>
          </w:p>
          <w:p w14:paraId="61E82C4A" w14:textId="77777777" w:rsidR="00ED12E9" w:rsidRPr="008F3786" w:rsidRDefault="00ED12E9" w:rsidP="0079796B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sz w:val="18"/>
              </w:rPr>
              <w:t>Hay dos clases: moneda de papel y papel moneda</w:t>
            </w:r>
          </w:p>
        </w:tc>
      </w:tr>
      <w:tr w:rsidR="00ED12E9" w14:paraId="5198FFF0" w14:textId="77777777" w:rsidTr="0079796B">
        <w:trPr>
          <w:cantSplit/>
          <w:trHeight w:val="801"/>
        </w:trPr>
        <w:tc>
          <w:tcPr>
            <w:tcW w:w="1296" w:type="pct"/>
            <w:vMerge w:val="restart"/>
            <w:textDirection w:val="tbRl"/>
            <w:vAlign w:val="center"/>
          </w:tcPr>
          <w:p w14:paraId="7DE98A0E" w14:textId="4164A726" w:rsidR="00ED12E9" w:rsidRPr="00ED12E9" w:rsidRDefault="00ED12E9" w:rsidP="00927E2C">
            <w:pPr>
              <w:pStyle w:val="Paratabla"/>
              <w:ind w:right="113" w:hanging="2"/>
              <w:rPr>
                <w:sz w:val="24"/>
              </w:rPr>
            </w:pPr>
            <w:r w:rsidRPr="00ED12E9">
              <w:rPr>
                <w:sz w:val="24"/>
              </w:rPr>
              <w:t>Según su convertibilidad</w:t>
            </w:r>
          </w:p>
        </w:tc>
        <w:tc>
          <w:tcPr>
            <w:tcW w:w="1627" w:type="pct"/>
            <w:vAlign w:val="center"/>
          </w:tcPr>
          <w:p w14:paraId="036235BF" w14:textId="77777777" w:rsidR="00ED12E9" w:rsidRDefault="00ED12E9" w:rsidP="00C13349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Moneda de papel</w:t>
            </w:r>
            <w:r>
              <w:rPr>
                <w:rFonts w:ascii="Arial" w:hAnsi="Arial" w:cs="Arial"/>
                <w:i/>
                <w:iCs/>
                <w:sz w:val="18"/>
              </w:rPr>
              <w:t>:</w:t>
            </w:r>
          </w:p>
        </w:tc>
        <w:tc>
          <w:tcPr>
            <w:tcW w:w="2077" w:type="pct"/>
            <w:vAlign w:val="center"/>
          </w:tcPr>
          <w:p w14:paraId="69B4A133" w14:textId="30D7AD26" w:rsidR="00ED12E9" w:rsidRPr="008F3786" w:rsidRDefault="008F3786" w:rsidP="0079796B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65408" behindDoc="1" locked="0" layoutInCell="1" allowOverlap="1" wp14:anchorId="4E2F2D32" wp14:editId="4D6D25C9">
                  <wp:simplePos x="0" y="0"/>
                  <wp:positionH relativeFrom="margin">
                    <wp:posOffset>245745</wp:posOffset>
                  </wp:positionH>
                  <wp:positionV relativeFrom="page">
                    <wp:posOffset>-248920</wp:posOffset>
                  </wp:positionV>
                  <wp:extent cx="2159635" cy="2159635"/>
                  <wp:effectExtent l="0" t="0" r="0" b="0"/>
                  <wp:wrapNone/>
                  <wp:docPr id="1491975151" name="Ima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31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635" cy="215963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D12E9" w:rsidRPr="008F3786">
              <w:rPr>
                <w:rFonts w:ascii="Arial" w:hAnsi="Arial" w:cs="Arial"/>
                <w:b/>
                <w:bCs/>
                <w:color w:val="000000" w:themeColor="text1"/>
                <w:sz w:val="18"/>
              </w:rPr>
              <w:t>Es convertible</w:t>
            </w:r>
          </w:p>
        </w:tc>
      </w:tr>
      <w:tr w:rsidR="00ED12E9" w14:paraId="15648392" w14:textId="77777777" w:rsidTr="0079796B">
        <w:trPr>
          <w:cantSplit/>
          <w:trHeight w:val="1144"/>
        </w:trPr>
        <w:tc>
          <w:tcPr>
            <w:tcW w:w="1296" w:type="pct"/>
            <w:vMerge/>
            <w:textDirection w:val="tbRl"/>
            <w:vAlign w:val="center"/>
          </w:tcPr>
          <w:p w14:paraId="006F8B03" w14:textId="3E1B9298" w:rsidR="00ED12E9" w:rsidRPr="00ED12E9" w:rsidRDefault="00ED12E9" w:rsidP="00927E2C">
            <w:pPr>
              <w:autoSpaceDE w:val="0"/>
              <w:autoSpaceDN w:val="0"/>
              <w:adjustRightInd w:val="0"/>
              <w:ind w:right="113" w:hanging="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7" w:type="pct"/>
            <w:vAlign w:val="center"/>
          </w:tcPr>
          <w:p w14:paraId="5234B0F4" w14:textId="00277F81" w:rsidR="00ED12E9" w:rsidRDefault="00ED12E9" w:rsidP="00C13349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Papel moneda</w:t>
            </w:r>
          </w:p>
        </w:tc>
        <w:tc>
          <w:tcPr>
            <w:tcW w:w="2077" w:type="pct"/>
            <w:vAlign w:val="center"/>
          </w:tcPr>
          <w:p w14:paraId="4A7569B1" w14:textId="2FECF74A" w:rsidR="00ED12E9" w:rsidRPr="008F3786" w:rsidRDefault="00ED12E9" w:rsidP="0079796B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color w:val="000000" w:themeColor="text1"/>
                <w:sz w:val="18"/>
              </w:rPr>
              <w:t>No es convertible</w:t>
            </w:r>
          </w:p>
        </w:tc>
      </w:tr>
      <w:tr w:rsidR="00ED12E9" w14:paraId="30354B4A" w14:textId="77777777" w:rsidTr="0079796B">
        <w:trPr>
          <w:cantSplit/>
          <w:trHeight w:val="898"/>
        </w:trPr>
        <w:tc>
          <w:tcPr>
            <w:tcW w:w="1296" w:type="pct"/>
            <w:vMerge w:val="restart"/>
            <w:textDirection w:val="tbRl"/>
            <w:vAlign w:val="center"/>
          </w:tcPr>
          <w:p w14:paraId="2A88D9C2" w14:textId="5432D20D" w:rsidR="00ED12E9" w:rsidRPr="00ED12E9" w:rsidRDefault="00ED12E9" w:rsidP="00927E2C">
            <w:pPr>
              <w:pStyle w:val="Paratabla"/>
              <w:ind w:right="113" w:hanging="2"/>
              <w:rPr>
                <w:sz w:val="24"/>
              </w:rPr>
            </w:pPr>
            <w:r w:rsidRPr="00ED12E9">
              <w:rPr>
                <w:sz w:val="24"/>
              </w:rPr>
              <w:t>Según la razón de su existencia</w:t>
            </w:r>
          </w:p>
        </w:tc>
        <w:tc>
          <w:tcPr>
            <w:tcW w:w="1627" w:type="pct"/>
            <w:vAlign w:val="center"/>
          </w:tcPr>
          <w:p w14:paraId="5F16A6B7" w14:textId="5DA5FE7A" w:rsidR="00ED12E9" w:rsidRDefault="00ED12E9" w:rsidP="00C13349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Moneda real</w:t>
            </w:r>
          </w:p>
        </w:tc>
        <w:tc>
          <w:tcPr>
            <w:tcW w:w="2077" w:type="pct"/>
            <w:vAlign w:val="center"/>
          </w:tcPr>
          <w:p w14:paraId="0306A003" w14:textId="0C870E43" w:rsidR="00ED12E9" w:rsidRPr="008F3786" w:rsidRDefault="00ED12E9" w:rsidP="0079796B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sz w:val="18"/>
              </w:rPr>
              <w:t>Del país y que son utilizados en las transacciones</w:t>
            </w:r>
          </w:p>
        </w:tc>
      </w:tr>
      <w:tr w:rsidR="00ED12E9" w14:paraId="2BBD6A99" w14:textId="77777777" w:rsidTr="0079796B">
        <w:trPr>
          <w:cantSplit/>
          <w:trHeight w:val="1061"/>
        </w:trPr>
        <w:tc>
          <w:tcPr>
            <w:tcW w:w="1296" w:type="pct"/>
            <w:vMerge/>
            <w:vAlign w:val="center"/>
          </w:tcPr>
          <w:p w14:paraId="234527D7" w14:textId="6B258917" w:rsidR="00ED12E9" w:rsidRDefault="00ED12E9" w:rsidP="00C13349">
            <w:pPr>
              <w:autoSpaceDE w:val="0"/>
              <w:autoSpaceDN w:val="0"/>
              <w:adjustRightInd w:val="0"/>
              <w:ind w:right="113"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627" w:type="pct"/>
            <w:vAlign w:val="center"/>
          </w:tcPr>
          <w:p w14:paraId="2F161981" w14:textId="328DA315" w:rsidR="00ED12E9" w:rsidRDefault="00ED12E9" w:rsidP="00C13349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Moneda ideal o de cuenta</w:t>
            </w:r>
          </w:p>
        </w:tc>
        <w:tc>
          <w:tcPr>
            <w:tcW w:w="2077" w:type="pct"/>
            <w:vAlign w:val="center"/>
          </w:tcPr>
          <w:p w14:paraId="7DDD3EC1" w14:textId="1432BFCD" w:rsidR="00ED12E9" w:rsidRPr="008F3786" w:rsidRDefault="00ED12E9" w:rsidP="0079796B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F3786">
              <w:rPr>
                <w:rFonts w:ascii="Arial" w:hAnsi="Arial" w:cs="Arial"/>
                <w:b/>
                <w:bCs/>
                <w:sz w:val="18"/>
              </w:rPr>
              <w:t>Como medida de valor en ciertas circunstancias</w:t>
            </w:r>
          </w:p>
        </w:tc>
      </w:tr>
    </w:tbl>
    <w:p w14:paraId="7CF1995C" w14:textId="77777777" w:rsidR="00C13349" w:rsidRPr="00C13349" w:rsidRDefault="00C13349">
      <w:pPr>
        <w:rPr>
          <w:rFonts w:ascii="Arial" w:hAnsi="Arial" w:cs="Arial"/>
          <w:b/>
          <w:bCs/>
          <w:sz w:val="20"/>
          <w:szCs w:val="20"/>
        </w:rPr>
      </w:pPr>
      <w:r w:rsidRPr="00C13349">
        <w:rPr>
          <w:rFonts w:ascii="Arial" w:hAnsi="Arial" w:cs="Arial"/>
          <w:b/>
          <w:bCs/>
          <w:sz w:val="20"/>
          <w:szCs w:val="20"/>
        </w:rPr>
        <w:t>Tabla 1</w:t>
      </w:r>
    </w:p>
    <w:p w14:paraId="37B7A89B" w14:textId="77777777" w:rsidR="008C4C13" w:rsidRDefault="008C4C13">
      <w:pPr>
        <w:rPr>
          <w:rFonts w:ascii="Arial" w:hAnsi="Arial" w:cs="Arial"/>
          <w:b/>
          <w:bCs/>
          <w:sz w:val="20"/>
          <w:szCs w:val="20"/>
        </w:rPr>
      </w:pPr>
    </w:p>
    <w:p w14:paraId="7E1EE978" w14:textId="189C66C6" w:rsidR="008C4C13" w:rsidRDefault="008C4C13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0E2C7A3B" w14:textId="20E44F2C" w:rsidR="002603D6" w:rsidRPr="00C13349" w:rsidRDefault="002603D6" w:rsidP="002603D6">
      <w:pPr>
        <w:rPr>
          <w:rFonts w:ascii="Arial" w:hAnsi="Arial" w:cs="Arial"/>
          <w:b/>
          <w:bCs/>
          <w:sz w:val="20"/>
          <w:szCs w:val="20"/>
        </w:rPr>
      </w:pPr>
      <w:r w:rsidRPr="00C13349">
        <w:rPr>
          <w:rFonts w:ascii="Arial" w:hAnsi="Arial" w:cs="Arial"/>
          <w:b/>
          <w:bCs/>
          <w:sz w:val="20"/>
          <w:szCs w:val="20"/>
        </w:rPr>
        <w:lastRenderedPageBreak/>
        <w:t xml:space="preserve">Tabla </w:t>
      </w:r>
      <w:r>
        <w:rPr>
          <w:rFonts w:ascii="Arial" w:hAnsi="Arial" w:cs="Arial"/>
          <w:b/>
          <w:bCs/>
          <w:sz w:val="20"/>
          <w:szCs w:val="20"/>
        </w:rPr>
        <w:t>2</w:t>
      </w:r>
    </w:p>
    <w:p w14:paraId="677B196E" w14:textId="78343FA9" w:rsidR="00894707" w:rsidRDefault="00894707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page" w:horzAnchor="margin" w:tblpY="1591"/>
        <w:tblW w:w="10446" w:type="dxa"/>
        <w:tblBorders>
          <w:top w:val="double" w:sz="12" w:space="0" w:color="4472C4" w:themeColor="accent1"/>
          <w:left w:val="double" w:sz="12" w:space="0" w:color="4472C4" w:themeColor="accent1"/>
          <w:bottom w:val="double" w:sz="12" w:space="0" w:color="4472C4" w:themeColor="accent1"/>
          <w:right w:val="double" w:sz="12" w:space="0" w:color="4472C4" w:themeColor="accent1"/>
          <w:insideH w:val="single" w:sz="18" w:space="0" w:color="002060"/>
          <w:insideV w:val="single" w:sz="18" w:space="0" w:color="00206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2855"/>
        <w:gridCol w:w="3474"/>
        <w:gridCol w:w="2897"/>
      </w:tblGrid>
      <w:tr w:rsidR="004C071D" w:rsidRPr="006B315A" w14:paraId="6C5ACDE4" w14:textId="77777777" w:rsidTr="006B6137">
        <w:trPr>
          <w:trHeight w:val="20"/>
        </w:trPr>
        <w:tc>
          <w:tcPr>
            <w:tcW w:w="1220" w:type="dxa"/>
            <w:tcBorders>
              <w:top w:val="nil"/>
              <w:left w:val="nil"/>
              <w:bottom w:val="double" w:sz="12" w:space="0" w:color="2E74B5" w:themeColor="accent5" w:themeShade="BF"/>
              <w:right w:val="double" w:sz="12" w:space="0" w:color="2E74B5" w:themeColor="accent5" w:themeShade="BF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2D5D33" w14:textId="77777777" w:rsidR="004C071D" w:rsidRPr="006B315A" w:rsidRDefault="004C071D" w:rsidP="00EC7ECE">
            <w:pPr>
              <w:jc w:val="center"/>
              <w:rPr>
                <w:rFonts w:cstheme="minorHAnsi"/>
              </w:rPr>
            </w:pPr>
          </w:p>
        </w:tc>
        <w:tc>
          <w:tcPr>
            <w:tcW w:w="9226" w:type="dxa"/>
            <w:gridSpan w:val="3"/>
            <w:tcBorders>
              <w:left w:val="double" w:sz="12" w:space="0" w:color="2E74B5" w:themeColor="accent5" w:themeShade="BF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36F4D2" w14:textId="578013AD" w:rsidR="004C071D" w:rsidRPr="004C071D" w:rsidRDefault="004C071D" w:rsidP="004C071D">
            <w:pPr>
              <w:jc w:val="center"/>
              <w:rPr>
                <w:rFonts w:ascii="Arial Black" w:hAnsi="Arial Black" w:cstheme="minorHAnsi"/>
                <w:sz w:val="44"/>
                <w:szCs w:val="44"/>
              </w:rPr>
            </w:pPr>
            <w:r w:rsidRPr="004C071D">
              <w:rPr>
                <w:rFonts w:ascii="Arial Black" w:hAnsi="Arial Black" w:cstheme="minorHAnsi"/>
                <w:color w:val="4472C4" w:themeColor="accent1"/>
                <w:sz w:val="44"/>
                <w:szCs w:val="44"/>
              </w:rPr>
              <w:t>INFO IMPORTANTE…</w:t>
            </w:r>
          </w:p>
        </w:tc>
      </w:tr>
      <w:tr w:rsidR="004C071D" w:rsidRPr="006B315A" w14:paraId="2017AAF9" w14:textId="5A2845F9" w:rsidTr="006B6137">
        <w:trPr>
          <w:trHeight w:val="20"/>
        </w:trPr>
        <w:tc>
          <w:tcPr>
            <w:tcW w:w="1220" w:type="dxa"/>
            <w:vMerge w:val="restart"/>
            <w:tcBorders>
              <w:top w:val="double" w:sz="12" w:space="0" w:color="2E74B5" w:themeColor="accent5" w:themeShade="BF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"/>
            <w:vAlign w:val="center"/>
            <w:hideMark/>
          </w:tcPr>
          <w:p w14:paraId="340A20CA" w14:textId="583EC925" w:rsidR="004C071D" w:rsidRPr="006B6137" w:rsidRDefault="004C071D" w:rsidP="004C071D">
            <w:pPr>
              <w:ind w:left="113" w:right="113"/>
              <w:jc w:val="center"/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</w:pPr>
            <w:r w:rsidRPr="006B6137"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  <w:t>Energía</w:t>
            </w:r>
          </w:p>
        </w:tc>
        <w:tc>
          <w:tcPr>
            <w:tcW w:w="28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C7E398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Para trasladarse </w:t>
            </w:r>
          </w:p>
        </w:tc>
        <w:tc>
          <w:tcPr>
            <w:tcW w:w="347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72F43F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Caminar </w:t>
            </w:r>
          </w:p>
          <w:p w14:paraId="6A10C6F0" w14:textId="7183DB0C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Utilizar transporte publico</w:t>
            </w:r>
          </w:p>
          <w:p w14:paraId="20ACCBEB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Hacer uso de la Bicicleta </w:t>
            </w:r>
          </w:p>
        </w:tc>
        <w:tc>
          <w:tcPr>
            <w:tcW w:w="2897" w:type="dxa"/>
            <w:vMerge w:val="restart"/>
          </w:tcPr>
          <w:p w14:paraId="56113DEB" w14:textId="6002553A" w:rsidR="004C071D" w:rsidRPr="006B315A" w:rsidRDefault="006B6137" w:rsidP="002603D6">
            <w:pPr>
              <w:rPr>
                <w:rFonts w:cstheme="minorHAnsi"/>
              </w:rPr>
            </w:pPr>
            <w:r w:rsidRPr="001A4B66">
              <w:rPr>
                <w:rFonts w:ascii="Arial" w:hAnsi="Arial" w:cs="Arial"/>
                <w:b/>
                <w:bCs/>
                <w:noProof/>
                <w:sz w:val="20"/>
                <w:szCs w:val="20"/>
                <w:lang w:val="es-AR"/>
              </w:rPr>
              <w:drawing>
                <wp:anchor distT="0" distB="0" distL="114300" distR="114300" simplePos="0" relativeHeight="251659264" behindDoc="0" locked="0" layoutInCell="1" allowOverlap="1" wp14:anchorId="0E1F6C90" wp14:editId="3EE3B109">
                  <wp:simplePos x="0" y="0"/>
                  <wp:positionH relativeFrom="margin">
                    <wp:posOffset>128807</wp:posOffset>
                  </wp:positionH>
                  <wp:positionV relativeFrom="paragraph">
                    <wp:posOffset>1344540</wp:posOffset>
                  </wp:positionV>
                  <wp:extent cx="1524000" cy="1524000"/>
                  <wp:effectExtent l="0" t="0" r="0" b="0"/>
                  <wp:wrapNone/>
                  <wp:docPr id="2082679421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C071D" w:rsidRPr="006B315A" w14:paraId="5BBEFC3B" w14:textId="6E813FC1" w:rsidTr="006B6137">
        <w:trPr>
          <w:trHeight w:val="20"/>
        </w:trPr>
        <w:tc>
          <w:tcPr>
            <w:tcW w:w="1220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textDirection w:val="tbRl"/>
            <w:vAlign w:val="center"/>
            <w:hideMark/>
          </w:tcPr>
          <w:p w14:paraId="6CD5519C" w14:textId="77777777" w:rsidR="004C071D" w:rsidRPr="006B6137" w:rsidRDefault="004C071D" w:rsidP="004C071D">
            <w:pPr>
              <w:ind w:left="113" w:right="113"/>
              <w:jc w:val="center"/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</w:pPr>
          </w:p>
        </w:tc>
        <w:tc>
          <w:tcPr>
            <w:tcW w:w="28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8E678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Apagar cuando no están en uso </w:t>
            </w:r>
          </w:p>
        </w:tc>
        <w:tc>
          <w:tcPr>
            <w:tcW w:w="347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7E5A5E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Computadoras</w:t>
            </w:r>
          </w:p>
          <w:p w14:paraId="565D9AA5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Luces</w:t>
            </w:r>
          </w:p>
          <w:p w14:paraId="60028541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Televisores </w:t>
            </w:r>
          </w:p>
        </w:tc>
        <w:tc>
          <w:tcPr>
            <w:tcW w:w="2897" w:type="dxa"/>
            <w:vMerge/>
          </w:tcPr>
          <w:p w14:paraId="6F77B1B7" w14:textId="77777777" w:rsidR="004C071D" w:rsidRPr="006B315A" w:rsidRDefault="004C071D" w:rsidP="002603D6">
            <w:pPr>
              <w:rPr>
                <w:rFonts w:cstheme="minorHAnsi"/>
              </w:rPr>
            </w:pPr>
          </w:p>
        </w:tc>
      </w:tr>
      <w:tr w:rsidR="004C071D" w:rsidRPr="006B315A" w14:paraId="007F5EA0" w14:textId="5DE9BB2E" w:rsidTr="006B6137">
        <w:trPr>
          <w:trHeight w:val="593"/>
        </w:trPr>
        <w:tc>
          <w:tcPr>
            <w:tcW w:w="1220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textDirection w:val="tbRl"/>
            <w:vAlign w:val="center"/>
            <w:hideMark/>
          </w:tcPr>
          <w:p w14:paraId="48DF59AC" w14:textId="77777777" w:rsidR="004C071D" w:rsidRPr="006B6137" w:rsidRDefault="004C071D" w:rsidP="004C071D">
            <w:pPr>
              <w:ind w:left="113" w:right="113"/>
              <w:jc w:val="center"/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</w:pPr>
          </w:p>
        </w:tc>
        <w:tc>
          <w:tcPr>
            <w:tcW w:w="28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D11B66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Usar fuentes de energía renovables </w:t>
            </w:r>
          </w:p>
        </w:tc>
        <w:tc>
          <w:tcPr>
            <w:tcW w:w="347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14DAD1" w14:textId="666EA1F4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Solar</w:t>
            </w:r>
          </w:p>
          <w:p w14:paraId="1C1B57B3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Eólica</w:t>
            </w:r>
          </w:p>
          <w:p w14:paraId="60002459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Hidroeléctrica </w:t>
            </w:r>
          </w:p>
        </w:tc>
        <w:tc>
          <w:tcPr>
            <w:tcW w:w="2897" w:type="dxa"/>
            <w:vMerge/>
          </w:tcPr>
          <w:p w14:paraId="6ABEBDBB" w14:textId="77777777" w:rsidR="004C071D" w:rsidRPr="006B315A" w:rsidRDefault="004C071D" w:rsidP="002603D6">
            <w:pPr>
              <w:rPr>
                <w:rFonts w:cstheme="minorHAnsi"/>
              </w:rPr>
            </w:pPr>
          </w:p>
        </w:tc>
      </w:tr>
      <w:tr w:rsidR="004C071D" w:rsidRPr="006B315A" w14:paraId="31C91D07" w14:textId="3281AFF6" w:rsidTr="006B6137">
        <w:trPr>
          <w:trHeight w:val="20"/>
        </w:trPr>
        <w:tc>
          <w:tcPr>
            <w:tcW w:w="1220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textDirection w:val="tbRl"/>
            <w:vAlign w:val="center"/>
            <w:hideMark/>
          </w:tcPr>
          <w:p w14:paraId="315DD001" w14:textId="7BB76F5F" w:rsidR="004C071D" w:rsidRPr="006B6137" w:rsidRDefault="004C071D" w:rsidP="004C071D">
            <w:pPr>
              <w:ind w:left="113" w:right="113"/>
              <w:jc w:val="center"/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</w:pPr>
            <w:r w:rsidRPr="006B6137"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  <w:t>Agua</w:t>
            </w:r>
          </w:p>
        </w:tc>
        <w:tc>
          <w:tcPr>
            <w:tcW w:w="28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A938A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Para regar usar </w:t>
            </w:r>
          </w:p>
        </w:tc>
        <w:tc>
          <w:tcPr>
            <w:tcW w:w="347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AAE023" w14:textId="3C2A9959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Sistemas de irrigación eficientes</w:t>
            </w:r>
          </w:p>
          <w:p w14:paraId="3F6571BC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Agua gris </w:t>
            </w:r>
          </w:p>
        </w:tc>
        <w:tc>
          <w:tcPr>
            <w:tcW w:w="2897" w:type="dxa"/>
            <w:vMerge/>
          </w:tcPr>
          <w:p w14:paraId="344841F7" w14:textId="77777777" w:rsidR="004C071D" w:rsidRPr="006B315A" w:rsidRDefault="004C071D" w:rsidP="002603D6">
            <w:pPr>
              <w:rPr>
                <w:rFonts w:cstheme="minorHAnsi"/>
              </w:rPr>
            </w:pPr>
          </w:p>
        </w:tc>
      </w:tr>
      <w:tr w:rsidR="004C071D" w:rsidRPr="006B315A" w14:paraId="6A45FE7B" w14:textId="53177327" w:rsidTr="006B6137">
        <w:trPr>
          <w:trHeight w:val="788"/>
        </w:trPr>
        <w:tc>
          <w:tcPr>
            <w:tcW w:w="1220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textDirection w:val="tbRl"/>
            <w:vAlign w:val="center"/>
            <w:hideMark/>
          </w:tcPr>
          <w:p w14:paraId="33E4820E" w14:textId="77777777" w:rsidR="004C071D" w:rsidRPr="006B6137" w:rsidRDefault="004C071D" w:rsidP="004C071D">
            <w:pPr>
              <w:ind w:left="113" w:right="113"/>
              <w:jc w:val="center"/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</w:pPr>
          </w:p>
        </w:tc>
        <w:tc>
          <w:tcPr>
            <w:tcW w:w="28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7CF30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Chequear pérdidas en </w:t>
            </w:r>
          </w:p>
        </w:tc>
        <w:tc>
          <w:tcPr>
            <w:tcW w:w="347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4411C5" w14:textId="68FA45D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Canillas</w:t>
            </w:r>
          </w:p>
          <w:p w14:paraId="306A8849" w14:textId="3B301549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Depósitos de baños</w:t>
            </w:r>
          </w:p>
          <w:p w14:paraId="01FB2A92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Cañerías</w:t>
            </w:r>
          </w:p>
          <w:p w14:paraId="1B9CD28C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 </w:t>
            </w:r>
          </w:p>
        </w:tc>
        <w:tc>
          <w:tcPr>
            <w:tcW w:w="2897" w:type="dxa"/>
            <w:vMerge/>
          </w:tcPr>
          <w:p w14:paraId="45A97184" w14:textId="77777777" w:rsidR="004C071D" w:rsidRPr="006B315A" w:rsidRDefault="004C071D" w:rsidP="002603D6">
            <w:pPr>
              <w:rPr>
                <w:rFonts w:cstheme="minorHAnsi"/>
              </w:rPr>
            </w:pPr>
          </w:p>
        </w:tc>
      </w:tr>
      <w:tr w:rsidR="004C071D" w:rsidRPr="006B315A" w14:paraId="3263F197" w14:textId="1074A056" w:rsidTr="006B6137">
        <w:trPr>
          <w:trHeight w:val="20"/>
        </w:trPr>
        <w:tc>
          <w:tcPr>
            <w:tcW w:w="1220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textDirection w:val="tbRl"/>
            <w:vAlign w:val="center"/>
            <w:hideMark/>
          </w:tcPr>
          <w:p w14:paraId="1A409951" w14:textId="47389509" w:rsidR="004C071D" w:rsidRPr="006B6137" w:rsidRDefault="004C071D" w:rsidP="004C071D">
            <w:pPr>
              <w:ind w:left="113" w:right="113"/>
              <w:jc w:val="center"/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</w:pPr>
            <w:r w:rsidRPr="006B6137">
              <w:rPr>
                <w:rFonts w:ascii="Comic Sans MS" w:hAnsi="Comic Sans MS" w:cstheme="minorHAnsi"/>
                <w:b/>
                <w:bCs/>
                <w:color w:val="C45911" w:themeColor="accent2" w:themeShade="BF"/>
                <w:sz w:val="32"/>
                <w:szCs w:val="32"/>
              </w:rPr>
              <w:t>Basura</w:t>
            </w:r>
          </w:p>
        </w:tc>
        <w:tc>
          <w:tcPr>
            <w:tcW w:w="28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52F258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Prevención </w:t>
            </w:r>
          </w:p>
        </w:tc>
        <w:tc>
          <w:tcPr>
            <w:tcW w:w="347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27D16A" w14:textId="457813B3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Disminuir el packaging </w:t>
            </w:r>
          </w:p>
          <w:p w14:paraId="6699B93B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Usar envases retornable </w:t>
            </w:r>
          </w:p>
        </w:tc>
        <w:tc>
          <w:tcPr>
            <w:tcW w:w="2897" w:type="dxa"/>
            <w:vMerge/>
          </w:tcPr>
          <w:p w14:paraId="6537AC60" w14:textId="77777777" w:rsidR="004C071D" w:rsidRPr="006B315A" w:rsidRDefault="004C071D" w:rsidP="002603D6">
            <w:pPr>
              <w:rPr>
                <w:rFonts w:cstheme="minorHAnsi"/>
              </w:rPr>
            </w:pPr>
          </w:p>
        </w:tc>
      </w:tr>
      <w:tr w:rsidR="004C071D" w:rsidRPr="006B315A" w14:paraId="4648BC68" w14:textId="23DCD45D" w:rsidTr="006B6137">
        <w:trPr>
          <w:trHeight w:val="20"/>
        </w:trPr>
        <w:tc>
          <w:tcPr>
            <w:tcW w:w="1220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37E993" w14:textId="77777777" w:rsidR="004C071D" w:rsidRPr="006B315A" w:rsidRDefault="004C071D" w:rsidP="00EC7ECE">
            <w:pPr>
              <w:jc w:val="center"/>
              <w:rPr>
                <w:rFonts w:cstheme="minorHAnsi"/>
              </w:rPr>
            </w:pPr>
          </w:p>
        </w:tc>
        <w:tc>
          <w:tcPr>
            <w:tcW w:w="285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BCB995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Tratamiento </w:t>
            </w:r>
          </w:p>
        </w:tc>
        <w:tc>
          <w:tcPr>
            <w:tcW w:w="3474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288090" w14:textId="2C7648F8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Reciclado </w:t>
            </w:r>
          </w:p>
          <w:p w14:paraId="5ED902AE" w14:textId="77777777" w:rsidR="004C071D" w:rsidRPr="006B315A" w:rsidRDefault="004C071D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Incineración con recuperación de energía </w:t>
            </w:r>
          </w:p>
        </w:tc>
        <w:tc>
          <w:tcPr>
            <w:tcW w:w="2897" w:type="dxa"/>
            <w:vMerge/>
          </w:tcPr>
          <w:p w14:paraId="69CBC66E" w14:textId="77777777" w:rsidR="004C071D" w:rsidRPr="006B315A" w:rsidRDefault="004C071D" w:rsidP="002603D6">
            <w:pPr>
              <w:rPr>
                <w:rFonts w:cstheme="minorHAnsi"/>
              </w:rPr>
            </w:pPr>
          </w:p>
        </w:tc>
      </w:tr>
    </w:tbl>
    <w:p w14:paraId="18BDBE70" w14:textId="77777777" w:rsidR="00894707" w:rsidRDefault="00894707" w:rsidP="00EC7ECE">
      <w:pPr>
        <w:spacing w:after="160" w:line="278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69492B2" w14:textId="685A3C36" w:rsidR="001A4B66" w:rsidRPr="001A4B66" w:rsidRDefault="001A4B66" w:rsidP="001A4B66">
      <w:pPr>
        <w:spacing w:after="160" w:line="278" w:lineRule="auto"/>
        <w:rPr>
          <w:rFonts w:ascii="Arial" w:hAnsi="Arial" w:cs="Arial"/>
          <w:b/>
          <w:bCs/>
          <w:sz w:val="20"/>
          <w:szCs w:val="20"/>
          <w:lang w:val="es-AR"/>
        </w:rPr>
      </w:pPr>
    </w:p>
    <w:p w14:paraId="1CE6AF1A" w14:textId="5B119103" w:rsidR="00894707" w:rsidRDefault="00894707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p w14:paraId="778A14DF" w14:textId="77777777" w:rsidR="00894707" w:rsidRDefault="00894707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p w14:paraId="1352CD26" w14:textId="548DD3C7" w:rsidR="00894707" w:rsidRDefault="00894707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p w14:paraId="7438F666" w14:textId="16C79026" w:rsidR="00C13349" w:rsidRPr="00C13349" w:rsidRDefault="00C13349">
      <w:pPr>
        <w:rPr>
          <w:rFonts w:ascii="Arial" w:hAnsi="Arial" w:cs="Arial"/>
          <w:b/>
          <w:bCs/>
          <w:sz w:val="20"/>
          <w:szCs w:val="20"/>
        </w:rPr>
      </w:pPr>
    </w:p>
    <w:sectPr w:rsidR="00C13349" w:rsidRPr="00C13349" w:rsidSect="0047280C">
      <w:pgSz w:w="11906" w:h="16838"/>
      <w:pgMar w:top="720" w:right="720" w:bottom="720" w:left="720" w:header="708" w:footer="708" w:gutter="0"/>
      <w:pgBorders w:offsetFrom="page">
        <w:top w:val="ovals" w:sz="10" w:space="24" w:color="70AD47" w:themeColor="accent6"/>
        <w:bottom w:val="ovals" w:sz="10" w:space="24" w:color="70AD47" w:themeColor="accent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D3C9F"/>
    <w:multiLevelType w:val="hybridMultilevel"/>
    <w:tmpl w:val="63482756"/>
    <w:lvl w:ilvl="0" w:tplc="8FAE6ACA">
      <w:start w:val="1"/>
      <w:numFmt w:val="bullet"/>
      <w:lvlText w:val=""/>
      <w:lvlJc w:val="left"/>
      <w:pPr>
        <w:ind w:left="720" w:hanging="360"/>
      </w:pPr>
      <w:rPr>
        <w:rFonts w:ascii="Webdings" w:hAnsi="Web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14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349"/>
    <w:rsid w:val="000E42D8"/>
    <w:rsid w:val="001A4B66"/>
    <w:rsid w:val="00206E64"/>
    <w:rsid w:val="002603D6"/>
    <w:rsid w:val="0047280C"/>
    <w:rsid w:val="004C071D"/>
    <w:rsid w:val="0052272C"/>
    <w:rsid w:val="0064580C"/>
    <w:rsid w:val="006B6137"/>
    <w:rsid w:val="0079796B"/>
    <w:rsid w:val="00894707"/>
    <w:rsid w:val="008C4C13"/>
    <w:rsid w:val="008F3786"/>
    <w:rsid w:val="00927E2C"/>
    <w:rsid w:val="00A02B48"/>
    <w:rsid w:val="00AF59B0"/>
    <w:rsid w:val="00BF54AD"/>
    <w:rsid w:val="00C13349"/>
    <w:rsid w:val="00EC7ECE"/>
    <w:rsid w:val="00ED12E9"/>
    <w:rsid w:val="00F2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ddffec,#c5f789,#defabc"/>
      <o:colormenu v:ext="edit" fillcolor="#defabc"/>
    </o:shapedefaults>
    <o:shapelayout v:ext="edit">
      <o:idmap v:ext="edit" data="1"/>
    </o:shapelayout>
  </w:shapeDefaults>
  <w:decimalSymbol w:val="."/>
  <w:listSeparator w:val=","/>
  <w14:docId w14:val="5AFB4649"/>
  <w15:chartTrackingRefBased/>
  <w15:docId w15:val="{080F0BE2-971E-445D-9250-4259DEA5F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349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133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133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133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133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133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133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133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133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133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33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133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133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1334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1334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1334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1334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1334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1334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133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133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133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133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133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1334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1334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1334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133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1334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13349"/>
    <w:rPr>
      <w:b/>
      <w:bCs/>
      <w:smallCaps/>
      <w:color w:val="2F5496" w:themeColor="accent1" w:themeShade="BF"/>
      <w:spacing w:val="5"/>
    </w:rPr>
  </w:style>
  <w:style w:type="paragraph" w:customStyle="1" w:styleId="Paratabla">
    <w:name w:val="Para tabla"/>
    <w:basedOn w:val="Normal"/>
    <w:rsid w:val="00C13349"/>
    <w:pPr>
      <w:autoSpaceDE w:val="0"/>
      <w:autoSpaceDN w:val="0"/>
      <w:adjustRightInd w:val="0"/>
      <w:jc w:val="center"/>
    </w:pPr>
    <w:rPr>
      <w:rFonts w:ascii="Comic Sans MS" w:hAnsi="Comic Sans MS" w:cs="Arial"/>
      <w:b/>
      <w:bCs/>
      <w:sz w:val="18"/>
    </w:rPr>
  </w:style>
  <w:style w:type="character" w:styleId="Hipervnculo">
    <w:name w:val="Hyperlink"/>
    <w:basedOn w:val="Fuentedeprrafopredeter"/>
    <w:uiPriority w:val="99"/>
    <w:rsid w:val="008C4C13"/>
    <w:rPr>
      <w:color w:val="0000FF"/>
      <w:u w:val="single"/>
    </w:rPr>
  </w:style>
  <w:style w:type="table" w:styleId="Tablaweb1">
    <w:name w:val="Table Web 1"/>
    <w:basedOn w:val="Tablanormal"/>
    <w:rsid w:val="008C4C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AR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</dc:creator>
  <cp:keywords/>
  <dc:description/>
  <cp:lastModifiedBy>moni</cp:lastModifiedBy>
  <cp:revision>4</cp:revision>
  <dcterms:created xsi:type="dcterms:W3CDTF">2026-05-29T11:27:00Z</dcterms:created>
  <dcterms:modified xsi:type="dcterms:W3CDTF">2026-05-29T14:11:00Z</dcterms:modified>
</cp:coreProperties>
</file>